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1D81" w14:textId="77777777" w:rsidR="000046CF" w:rsidRDefault="000046CF" w:rsidP="004156BC">
      <w:pPr>
        <w:spacing w:after="0"/>
        <w:jc w:val="center"/>
        <w:rPr>
          <w:sz w:val="28"/>
          <w:szCs w:val="28"/>
        </w:rPr>
      </w:pPr>
      <w:r w:rsidRPr="000046CF">
        <w:rPr>
          <w:noProof/>
          <w:sz w:val="28"/>
          <w:szCs w:val="28"/>
        </w:rPr>
        <w:drawing>
          <wp:inline distT="0" distB="0" distL="0" distR="0" wp14:anchorId="69A61DA0" wp14:editId="69A61DA1">
            <wp:extent cx="1662546" cy="1451123"/>
            <wp:effectExtent l="0" t="0" r="0" b="0"/>
            <wp:docPr id="1" name="Picture 6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73" cy="145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1A977" w14:textId="77777777" w:rsidR="00A711D9" w:rsidRDefault="00A711D9" w:rsidP="0002767A">
      <w:pPr>
        <w:spacing w:after="0"/>
        <w:jc w:val="center"/>
        <w:rPr>
          <w:b/>
          <w:i/>
          <w:sz w:val="28"/>
          <w:szCs w:val="28"/>
        </w:rPr>
      </w:pPr>
    </w:p>
    <w:p w14:paraId="69A61D83" w14:textId="1B7FBAA5" w:rsidR="00D66B4C" w:rsidRDefault="006E641F" w:rsidP="000276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Legislative Priorities – 202</w:t>
      </w:r>
      <w:r w:rsidR="00417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Session</w:t>
      </w:r>
    </w:p>
    <w:p w14:paraId="69A61D84" w14:textId="77777777" w:rsidR="00BA4542" w:rsidRDefault="00BA4542" w:rsidP="0002767A">
      <w:pPr>
        <w:spacing w:after="0"/>
        <w:jc w:val="center"/>
        <w:rPr>
          <w:b/>
          <w:sz w:val="28"/>
          <w:szCs w:val="28"/>
        </w:rPr>
      </w:pPr>
    </w:p>
    <w:p w14:paraId="69A61D86" w14:textId="7A5C2C45" w:rsidR="006E641F" w:rsidRDefault="00BA4542" w:rsidP="0053442E">
      <w:pPr>
        <w:spacing w:after="0"/>
        <w:rPr>
          <w:i/>
          <w:sz w:val="24"/>
          <w:szCs w:val="24"/>
        </w:rPr>
      </w:pPr>
      <w:r w:rsidRPr="00DE4994">
        <w:rPr>
          <w:i/>
          <w:sz w:val="24"/>
          <w:szCs w:val="24"/>
        </w:rPr>
        <w:t xml:space="preserve">The </w:t>
      </w:r>
      <w:r w:rsidR="002B4305">
        <w:rPr>
          <w:i/>
          <w:sz w:val="24"/>
          <w:szCs w:val="24"/>
        </w:rPr>
        <w:t xml:space="preserve">21-member towns of the </w:t>
      </w:r>
      <w:r w:rsidRPr="00DE4994">
        <w:rPr>
          <w:i/>
          <w:sz w:val="24"/>
          <w:szCs w:val="24"/>
        </w:rPr>
        <w:t xml:space="preserve">NHCOG </w:t>
      </w:r>
      <w:r w:rsidR="00796E88">
        <w:rPr>
          <w:i/>
          <w:sz w:val="24"/>
          <w:szCs w:val="24"/>
        </w:rPr>
        <w:t>are struggling</w:t>
      </w:r>
      <w:r w:rsidR="00DD7C1A">
        <w:rPr>
          <w:i/>
          <w:sz w:val="24"/>
          <w:szCs w:val="24"/>
        </w:rPr>
        <w:t xml:space="preserve"> </w:t>
      </w:r>
      <w:r w:rsidR="00ED0247">
        <w:rPr>
          <w:i/>
          <w:sz w:val="24"/>
          <w:szCs w:val="24"/>
        </w:rPr>
        <w:t xml:space="preserve">to </w:t>
      </w:r>
      <w:r w:rsidR="00227E07">
        <w:rPr>
          <w:i/>
          <w:sz w:val="24"/>
          <w:szCs w:val="24"/>
        </w:rPr>
        <w:t>address many</w:t>
      </w:r>
      <w:r w:rsidR="00D06F5B">
        <w:rPr>
          <w:i/>
          <w:sz w:val="24"/>
          <w:szCs w:val="24"/>
        </w:rPr>
        <w:t xml:space="preserve"> </w:t>
      </w:r>
      <w:r w:rsidR="00ED0247">
        <w:rPr>
          <w:i/>
          <w:sz w:val="24"/>
          <w:szCs w:val="24"/>
        </w:rPr>
        <w:t>challenging</w:t>
      </w:r>
      <w:r w:rsidR="00DD7C1A">
        <w:rPr>
          <w:i/>
          <w:sz w:val="24"/>
          <w:szCs w:val="24"/>
        </w:rPr>
        <w:t xml:space="preserve"> </w:t>
      </w:r>
      <w:r w:rsidR="009B477D">
        <w:rPr>
          <w:i/>
          <w:sz w:val="24"/>
          <w:szCs w:val="24"/>
        </w:rPr>
        <w:t xml:space="preserve">issues </w:t>
      </w:r>
      <w:r w:rsidR="00C63FE0">
        <w:rPr>
          <w:i/>
          <w:sz w:val="24"/>
          <w:szCs w:val="24"/>
        </w:rPr>
        <w:t xml:space="preserve">and un-met needs </w:t>
      </w:r>
      <w:r w:rsidR="00D06F5B">
        <w:rPr>
          <w:i/>
          <w:sz w:val="24"/>
          <w:szCs w:val="24"/>
        </w:rPr>
        <w:t>i</w:t>
      </w:r>
      <w:r w:rsidR="00497F34">
        <w:rPr>
          <w:i/>
          <w:sz w:val="24"/>
          <w:szCs w:val="24"/>
        </w:rPr>
        <w:t>n the wake of COVI</w:t>
      </w:r>
      <w:r w:rsidR="00E8439E">
        <w:rPr>
          <w:i/>
          <w:sz w:val="24"/>
          <w:szCs w:val="24"/>
        </w:rPr>
        <w:t>D</w:t>
      </w:r>
      <w:r w:rsidR="00497F34">
        <w:rPr>
          <w:i/>
          <w:sz w:val="24"/>
          <w:szCs w:val="24"/>
        </w:rPr>
        <w:t xml:space="preserve">-19. </w:t>
      </w:r>
      <w:r w:rsidR="00D06F5B">
        <w:rPr>
          <w:i/>
          <w:sz w:val="24"/>
          <w:szCs w:val="24"/>
        </w:rPr>
        <w:t>Many of the costs incurred by ou</w:t>
      </w:r>
      <w:r w:rsidR="00AE341C">
        <w:rPr>
          <w:i/>
          <w:sz w:val="24"/>
          <w:szCs w:val="24"/>
        </w:rPr>
        <w:t>r</w:t>
      </w:r>
      <w:r w:rsidR="00D06F5B">
        <w:rPr>
          <w:i/>
          <w:sz w:val="24"/>
          <w:szCs w:val="24"/>
        </w:rPr>
        <w:t xml:space="preserve"> </w:t>
      </w:r>
      <w:r w:rsidR="00D3715E">
        <w:rPr>
          <w:i/>
          <w:sz w:val="24"/>
          <w:szCs w:val="24"/>
        </w:rPr>
        <w:t>towns</w:t>
      </w:r>
      <w:r w:rsidR="00D06F5B">
        <w:rPr>
          <w:i/>
          <w:sz w:val="24"/>
          <w:szCs w:val="24"/>
        </w:rPr>
        <w:t xml:space="preserve"> are not being covered by federal and state programs</w:t>
      </w:r>
      <w:r w:rsidR="00D3715E">
        <w:rPr>
          <w:i/>
          <w:sz w:val="24"/>
          <w:szCs w:val="24"/>
        </w:rPr>
        <w:t>,</w:t>
      </w:r>
      <w:r w:rsidR="00D06F5B">
        <w:rPr>
          <w:i/>
          <w:sz w:val="24"/>
          <w:szCs w:val="24"/>
        </w:rPr>
        <w:t xml:space="preserve"> and municipal revenues are declining.</w:t>
      </w:r>
      <w:r w:rsidR="00AE341C">
        <w:rPr>
          <w:i/>
          <w:sz w:val="24"/>
          <w:szCs w:val="24"/>
        </w:rPr>
        <w:t xml:space="preserve"> </w:t>
      </w:r>
      <w:r w:rsidR="005D7F25">
        <w:rPr>
          <w:i/>
          <w:sz w:val="24"/>
          <w:szCs w:val="24"/>
        </w:rPr>
        <w:t xml:space="preserve">Support from our area legislators is more critical than ever as </w:t>
      </w:r>
      <w:r w:rsidR="007E7867">
        <w:rPr>
          <w:i/>
          <w:sz w:val="24"/>
          <w:szCs w:val="24"/>
        </w:rPr>
        <w:t>we</w:t>
      </w:r>
      <w:r w:rsidR="005D7F25">
        <w:rPr>
          <w:i/>
          <w:sz w:val="24"/>
          <w:szCs w:val="24"/>
        </w:rPr>
        <w:t xml:space="preserve"> </w:t>
      </w:r>
      <w:r w:rsidR="008E2198">
        <w:rPr>
          <w:i/>
          <w:sz w:val="24"/>
          <w:szCs w:val="24"/>
        </w:rPr>
        <w:t>seek to be resilient and bounce back from th</w:t>
      </w:r>
      <w:r w:rsidR="005A0198">
        <w:rPr>
          <w:i/>
          <w:sz w:val="24"/>
          <w:szCs w:val="24"/>
        </w:rPr>
        <w:t xml:space="preserve">is unprecedented pandemic. </w:t>
      </w:r>
      <w:r w:rsidR="00167340">
        <w:rPr>
          <w:i/>
          <w:sz w:val="24"/>
          <w:szCs w:val="24"/>
        </w:rPr>
        <w:t xml:space="preserve">Your assistance is </w:t>
      </w:r>
      <w:r w:rsidR="0053442E">
        <w:rPr>
          <w:i/>
          <w:sz w:val="24"/>
          <w:szCs w:val="24"/>
        </w:rPr>
        <w:t xml:space="preserve">critical in supporting the following legislative priorities of the </w:t>
      </w:r>
      <w:r w:rsidR="00D3715E">
        <w:rPr>
          <w:i/>
          <w:sz w:val="24"/>
          <w:szCs w:val="24"/>
        </w:rPr>
        <w:t xml:space="preserve">member towns of the </w:t>
      </w:r>
      <w:r w:rsidR="0053442E">
        <w:rPr>
          <w:i/>
          <w:sz w:val="24"/>
          <w:szCs w:val="24"/>
        </w:rPr>
        <w:t xml:space="preserve">NHCOG. </w:t>
      </w:r>
    </w:p>
    <w:p w14:paraId="34347AB8" w14:textId="77777777" w:rsidR="0053442E" w:rsidRDefault="0053442E" w:rsidP="0053442E">
      <w:pPr>
        <w:spacing w:after="0"/>
        <w:rPr>
          <w:b/>
          <w:sz w:val="24"/>
          <w:szCs w:val="24"/>
        </w:rPr>
      </w:pPr>
    </w:p>
    <w:p w14:paraId="69A61D87" w14:textId="77777777" w:rsidR="00A77DD8" w:rsidRDefault="006E641F" w:rsidP="00914F2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14F27" w:rsidRPr="000046CF">
        <w:rPr>
          <w:b/>
          <w:sz w:val="24"/>
          <w:szCs w:val="24"/>
        </w:rPr>
        <w:t xml:space="preserve">) </w:t>
      </w:r>
      <w:r w:rsidR="008847D1">
        <w:rPr>
          <w:b/>
          <w:sz w:val="24"/>
          <w:szCs w:val="24"/>
        </w:rPr>
        <w:t xml:space="preserve">Continue to </w:t>
      </w:r>
      <w:r w:rsidR="00381392">
        <w:rPr>
          <w:b/>
          <w:sz w:val="24"/>
          <w:szCs w:val="24"/>
        </w:rPr>
        <w:t>p</w:t>
      </w:r>
      <w:r w:rsidR="008847D1">
        <w:rPr>
          <w:b/>
          <w:sz w:val="24"/>
          <w:szCs w:val="24"/>
        </w:rPr>
        <w:t>artner with our</w:t>
      </w:r>
      <w:r w:rsidR="00914F27" w:rsidRPr="000046CF">
        <w:rPr>
          <w:b/>
          <w:sz w:val="24"/>
          <w:szCs w:val="24"/>
        </w:rPr>
        <w:t xml:space="preserve"> </w:t>
      </w:r>
      <w:r w:rsidR="00381392">
        <w:rPr>
          <w:b/>
          <w:sz w:val="24"/>
          <w:szCs w:val="24"/>
        </w:rPr>
        <w:t>t</w:t>
      </w:r>
      <w:r w:rsidR="00914F27" w:rsidRPr="000046CF">
        <w:rPr>
          <w:b/>
          <w:sz w:val="24"/>
          <w:szCs w:val="24"/>
        </w:rPr>
        <w:t xml:space="preserve">owns </w:t>
      </w:r>
      <w:r w:rsidR="008847D1">
        <w:rPr>
          <w:b/>
          <w:sz w:val="24"/>
          <w:szCs w:val="24"/>
        </w:rPr>
        <w:t xml:space="preserve">to </w:t>
      </w:r>
      <w:r w:rsidR="00381392">
        <w:rPr>
          <w:b/>
          <w:sz w:val="24"/>
          <w:szCs w:val="24"/>
        </w:rPr>
        <w:t>c</w:t>
      </w:r>
      <w:r w:rsidR="00914F27" w:rsidRPr="000046CF">
        <w:rPr>
          <w:b/>
          <w:sz w:val="24"/>
          <w:szCs w:val="24"/>
        </w:rPr>
        <w:t xml:space="preserve">ontrol </w:t>
      </w:r>
      <w:r w:rsidR="00381392">
        <w:rPr>
          <w:b/>
          <w:sz w:val="24"/>
          <w:szCs w:val="24"/>
        </w:rPr>
        <w:t>l</w:t>
      </w:r>
      <w:r w:rsidR="00914F27" w:rsidRPr="000046CF">
        <w:rPr>
          <w:b/>
          <w:sz w:val="24"/>
          <w:szCs w:val="24"/>
        </w:rPr>
        <w:t xml:space="preserve">ocal </w:t>
      </w:r>
      <w:r w:rsidR="00381392">
        <w:rPr>
          <w:b/>
          <w:sz w:val="24"/>
          <w:szCs w:val="24"/>
        </w:rPr>
        <w:t>t</w:t>
      </w:r>
      <w:r w:rsidR="00914F27" w:rsidRPr="000046CF">
        <w:rPr>
          <w:b/>
          <w:sz w:val="24"/>
          <w:szCs w:val="24"/>
        </w:rPr>
        <w:t xml:space="preserve">ax </w:t>
      </w:r>
      <w:r w:rsidR="00381392">
        <w:rPr>
          <w:b/>
          <w:sz w:val="24"/>
          <w:szCs w:val="24"/>
        </w:rPr>
        <w:t>i</w:t>
      </w:r>
      <w:r w:rsidR="00914F27" w:rsidRPr="000046CF">
        <w:rPr>
          <w:b/>
          <w:sz w:val="24"/>
          <w:szCs w:val="24"/>
        </w:rPr>
        <w:t>ncreases.</w:t>
      </w:r>
      <w:r w:rsidR="00914F27">
        <w:rPr>
          <w:sz w:val="24"/>
          <w:szCs w:val="24"/>
        </w:rPr>
        <w:t xml:space="preserve"> </w:t>
      </w:r>
    </w:p>
    <w:p w14:paraId="69A61D88" w14:textId="77777777" w:rsidR="00BD5743" w:rsidRDefault="00BD5743" w:rsidP="00BD57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Oppose </w:t>
      </w:r>
      <w:r w:rsidR="006E641F">
        <w:rPr>
          <w:sz w:val="24"/>
          <w:szCs w:val="24"/>
        </w:rPr>
        <w:t xml:space="preserve">legislative proposals that would have a detrimental financial impact on our towns, such as </w:t>
      </w:r>
      <w:r>
        <w:rPr>
          <w:sz w:val="24"/>
          <w:szCs w:val="24"/>
        </w:rPr>
        <w:t>transferring a portion of teacher’s pensions to municipalities.</w:t>
      </w:r>
    </w:p>
    <w:p w14:paraId="0A5F7126" w14:textId="77777777" w:rsidR="008A4C14" w:rsidRDefault="008A4C14" w:rsidP="008A4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 legislation to provide for virtual or hybrid town meetings over the long-term in cooperation with Connecticut’s Freedom of Information Commission.</w:t>
      </w:r>
    </w:p>
    <w:p w14:paraId="69A61D89" w14:textId="77777777" w:rsidR="008847D1" w:rsidRDefault="008847D1" w:rsidP="008847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Support continued mandate relief measures. In particular, enact a higher prevailing wage threshold for renovation </w:t>
      </w:r>
      <w:r w:rsidR="00DE4994">
        <w:rPr>
          <w:sz w:val="24"/>
          <w:szCs w:val="24"/>
        </w:rPr>
        <w:t xml:space="preserve">projects </w:t>
      </w:r>
      <w:r>
        <w:rPr>
          <w:sz w:val="24"/>
          <w:szCs w:val="24"/>
        </w:rPr>
        <w:t xml:space="preserve">similar to what was done for new construction.  </w:t>
      </w:r>
    </w:p>
    <w:p w14:paraId="0A209FBC" w14:textId="7AD4800E" w:rsidR="00E50B2C" w:rsidRDefault="00E50B2C" w:rsidP="00E50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 legislation that would allow towns, at local option, to adopt bi-annual budgets to enable longer-term budgeting and cost savings in municipalities.</w:t>
      </w:r>
    </w:p>
    <w:p w14:paraId="45418A74" w14:textId="2B6A2756" w:rsidR="00360A33" w:rsidRDefault="007430D1" w:rsidP="00E50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Sponsor legislation that would </w:t>
      </w:r>
      <w:r w:rsidR="00F20A88">
        <w:rPr>
          <w:sz w:val="24"/>
          <w:szCs w:val="24"/>
        </w:rPr>
        <w:t xml:space="preserve">enable towns in a regional school district to adopt a 3-5 year rolling average for </w:t>
      </w:r>
      <w:r w:rsidR="00D95679">
        <w:rPr>
          <w:sz w:val="24"/>
          <w:szCs w:val="24"/>
        </w:rPr>
        <w:t>municipal assessments to minimize the fiscal impact in any one given year.</w:t>
      </w:r>
      <w:r w:rsidR="00E7257E">
        <w:rPr>
          <w:sz w:val="24"/>
          <w:szCs w:val="24"/>
        </w:rPr>
        <w:t xml:space="preserve"> </w:t>
      </w:r>
      <w:r w:rsidR="00B336E2">
        <w:rPr>
          <w:sz w:val="24"/>
          <w:szCs w:val="24"/>
        </w:rPr>
        <w:t xml:space="preserve">Provide enabling legislation for the establishment of a Board of Finance for Regional Schools to better monitor and control </w:t>
      </w:r>
      <w:r w:rsidR="00C86B8D">
        <w:rPr>
          <w:sz w:val="24"/>
          <w:szCs w:val="24"/>
        </w:rPr>
        <w:t>spending</w:t>
      </w:r>
      <w:r w:rsidR="00B336E2">
        <w:rPr>
          <w:sz w:val="24"/>
          <w:szCs w:val="24"/>
        </w:rPr>
        <w:t>.</w:t>
      </w:r>
    </w:p>
    <w:p w14:paraId="69A61D8C" w14:textId="58964BC2" w:rsidR="008847D1" w:rsidRDefault="008847D1" w:rsidP="008847D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0046C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Develop </w:t>
      </w:r>
      <w:r w:rsidR="00C86B8D">
        <w:rPr>
          <w:b/>
          <w:sz w:val="24"/>
          <w:szCs w:val="24"/>
        </w:rPr>
        <w:t xml:space="preserve">a strategic plan and </w:t>
      </w:r>
      <w:r>
        <w:rPr>
          <w:b/>
          <w:sz w:val="24"/>
          <w:szCs w:val="24"/>
        </w:rPr>
        <w:t>legislation to effectively address the escalating municipal solid waste crisis in Connecticut</w:t>
      </w:r>
      <w:r>
        <w:rPr>
          <w:sz w:val="24"/>
          <w:szCs w:val="24"/>
        </w:rPr>
        <w:t xml:space="preserve">. </w:t>
      </w:r>
    </w:p>
    <w:p w14:paraId="69A61D8D" w14:textId="53C49769" w:rsidR="008847D1" w:rsidRDefault="00FE2652" w:rsidP="008847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Creation of</w:t>
      </w:r>
      <w:r w:rsidR="009F6A4C">
        <w:rPr>
          <w:sz w:val="24"/>
          <w:szCs w:val="24"/>
        </w:rPr>
        <w:t xml:space="preserve"> a</w:t>
      </w:r>
      <w:r>
        <w:rPr>
          <w:sz w:val="24"/>
          <w:szCs w:val="24"/>
        </w:rPr>
        <w:t>n implementable strategic plan</w:t>
      </w:r>
      <w:r w:rsidR="00E741A3">
        <w:rPr>
          <w:sz w:val="24"/>
          <w:szCs w:val="24"/>
        </w:rPr>
        <w:t xml:space="preserve"> and </w:t>
      </w:r>
      <w:r w:rsidR="00312051">
        <w:rPr>
          <w:sz w:val="24"/>
          <w:szCs w:val="24"/>
        </w:rPr>
        <w:t xml:space="preserve">state </w:t>
      </w:r>
      <w:r w:rsidR="00E741A3">
        <w:rPr>
          <w:sz w:val="24"/>
          <w:szCs w:val="24"/>
        </w:rPr>
        <w:t xml:space="preserve">financial support </w:t>
      </w:r>
      <w:r w:rsidR="008847D1">
        <w:rPr>
          <w:sz w:val="24"/>
          <w:szCs w:val="24"/>
        </w:rPr>
        <w:t xml:space="preserve">is </w:t>
      </w:r>
      <w:r>
        <w:rPr>
          <w:sz w:val="24"/>
          <w:szCs w:val="24"/>
        </w:rPr>
        <w:t>critical</w:t>
      </w:r>
      <w:r w:rsidR="008847D1">
        <w:rPr>
          <w:sz w:val="24"/>
          <w:szCs w:val="24"/>
        </w:rPr>
        <w:t xml:space="preserve"> to </w:t>
      </w:r>
      <w:r w:rsidR="003C1038">
        <w:rPr>
          <w:sz w:val="24"/>
          <w:szCs w:val="24"/>
        </w:rPr>
        <w:t xml:space="preserve">addressing the </w:t>
      </w:r>
      <w:r w:rsidR="00200CD9">
        <w:rPr>
          <w:sz w:val="24"/>
          <w:szCs w:val="24"/>
        </w:rPr>
        <w:t xml:space="preserve">financial </w:t>
      </w:r>
      <w:r w:rsidR="00E30BFB">
        <w:rPr>
          <w:sz w:val="24"/>
          <w:szCs w:val="24"/>
        </w:rPr>
        <w:t xml:space="preserve">and technological </w:t>
      </w:r>
      <w:r w:rsidR="003C1038">
        <w:rPr>
          <w:sz w:val="24"/>
          <w:szCs w:val="24"/>
        </w:rPr>
        <w:t xml:space="preserve">issues faced </w:t>
      </w:r>
      <w:r w:rsidR="0070791B">
        <w:rPr>
          <w:sz w:val="24"/>
          <w:szCs w:val="24"/>
        </w:rPr>
        <w:t>by MIRA</w:t>
      </w:r>
      <w:r w:rsidR="008847D1">
        <w:rPr>
          <w:sz w:val="24"/>
          <w:szCs w:val="24"/>
        </w:rPr>
        <w:t xml:space="preserve"> </w:t>
      </w:r>
      <w:r w:rsidR="003C1038">
        <w:rPr>
          <w:sz w:val="24"/>
          <w:szCs w:val="24"/>
        </w:rPr>
        <w:t>so that it can become</w:t>
      </w:r>
      <w:r w:rsidR="008847D1">
        <w:rPr>
          <w:sz w:val="24"/>
          <w:szCs w:val="24"/>
        </w:rPr>
        <w:t xml:space="preserve"> a reliable and sustainable resource for our municipalities</w:t>
      </w:r>
      <w:r w:rsidR="00F862F1">
        <w:rPr>
          <w:sz w:val="24"/>
          <w:szCs w:val="24"/>
        </w:rPr>
        <w:t xml:space="preserve"> over the long term</w:t>
      </w:r>
      <w:r w:rsidR="008847D1">
        <w:rPr>
          <w:sz w:val="24"/>
          <w:szCs w:val="24"/>
        </w:rPr>
        <w:t>.</w:t>
      </w:r>
    </w:p>
    <w:p w14:paraId="0A097F8E" w14:textId="48BD642D" w:rsidR="007033E8" w:rsidRPr="007033E8" w:rsidRDefault="007033E8" w:rsidP="007033E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033E8">
        <w:rPr>
          <w:i/>
          <w:iCs/>
          <w:sz w:val="24"/>
          <w:szCs w:val="24"/>
        </w:rPr>
        <w:t>over</w:t>
      </w:r>
      <w:r>
        <w:rPr>
          <w:sz w:val="24"/>
          <w:szCs w:val="24"/>
        </w:rPr>
        <w:t>)</w:t>
      </w:r>
    </w:p>
    <w:p w14:paraId="69A61D8E" w14:textId="77777777" w:rsidR="004156BC" w:rsidRDefault="00381392" w:rsidP="006E641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56BC" w:rsidRPr="000046CF">
        <w:rPr>
          <w:b/>
          <w:sz w:val="24"/>
          <w:szCs w:val="24"/>
        </w:rPr>
        <w:t xml:space="preserve">) </w:t>
      </w:r>
      <w:r w:rsidR="00625A09" w:rsidRPr="000046CF">
        <w:rPr>
          <w:b/>
          <w:sz w:val="24"/>
          <w:szCs w:val="24"/>
        </w:rPr>
        <w:t xml:space="preserve">Support </w:t>
      </w:r>
      <w:r>
        <w:rPr>
          <w:b/>
          <w:sz w:val="24"/>
          <w:szCs w:val="24"/>
          <w:u w:val="single"/>
        </w:rPr>
        <w:t>v</w:t>
      </w:r>
      <w:r w:rsidR="00625A09" w:rsidRPr="000046CF">
        <w:rPr>
          <w:b/>
          <w:sz w:val="24"/>
          <w:szCs w:val="24"/>
          <w:u w:val="single"/>
        </w:rPr>
        <w:t>oluntary</w:t>
      </w:r>
      <w:r w:rsidR="00625A09" w:rsidRPr="000046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4156BC" w:rsidRPr="000046CF">
        <w:rPr>
          <w:b/>
          <w:sz w:val="24"/>
          <w:szCs w:val="24"/>
        </w:rPr>
        <w:t>egionalization</w:t>
      </w:r>
      <w:r w:rsidR="00DB145C" w:rsidRPr="000046CF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s</w:t>
      </w:r>
      <w:r w:rsidR="00DB145C" w:rsidRPr="000046CF">
        <w:rPr>
          <w:b/>
          <w:sz w:val="24"/>
          <w:szCs w:val="24"/>
        </w:rPr>
        <w:t xml:space="preserve">hared </w:t>
      </w:r>
      <w:r>
        <w:rPr>
          <w:b/>
          <w:sz w:val="24"/>
          <w:szCs w:val="24"/>
        </w:rPr>
        <w:t>s</w:t>
      </w:r>
      <w:r w:rsidR="00DB145C" w:rsidRPr="000046CF">
        <w:rPr>
          <w:b/>
          <w:sz w:val="24"/>
          <w:szCs w:val="24"/>
        </w:rPr>
        <w:t>ervices</w:t>
      </w:r>
      <w:r w:rsidR="004156BC" w:rsidRPr="000046CF">
        <w:rPr>
          <w:b/>
          <w:sz w:val="24"/>
          <w:szCs w:val="24"/>
        </w:rPr>
        <w:t>.</w:t>
      </w:r>
      <w:r w:rsidR="004156BC">
        <w:rPr>
          <w:sz w:val="24"/>
          <w:szCs w:val="24"/>
        </w:rPr>
        <w:t xml:space="preserve"> </w:t>
      </w:r>
    </w:p>
    <w:p w14:paraId="69A61D90" w14:textId="3C286ADA" w:rsidR="004271BC" w:rsidRPr="002D1EBA" w:rsidRDefault="00CA375F" w:rsidP="002D1E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635B">
        <w:rPr>
          <w:sz w:val="24"/>
          <w:szCs w:val="24"/>
        </w:rPr>
        <w:t xml:space="preserve">member towns of the </w:t>
      </w:r>
      <w:r>
        <w:rPr>
          <w:sz w:val="24"/>
          <w:szCs w:val="24"/>
        </w:rPr>
        <w:t xml:space="preserve">NHCOG </w:t>
      </w:r>
      <w:r w:rsidR="00A2635B">
        <w:rPr>
          <w:sz w:val="24"/>
          <w:szCs w:val="24"/>
        </w:rPr>
        <w:t>have long supported</w:t>
      </w:r>
      <w:r w:rsidR="004156BC">
        <w:rPr>
          <w:sz w:val="24"/>
          <w:szCs w:val="24"/>
        </w:rPr>
        <w:t xml:space="preserve"> voluntary regionalism and have already regionalized many municipal f</w:t>
      </w:r>
      <w:r w:rsidR="00665915">
        <w:rPr>
          <w:sz w:val="24"/>
          <w:szCs w:val="24"/>
        </w:rPr>
        <w:t>acilities</w:t>
      </w:r>
      <w:r w:rsidR="00150958">
        <w:rPr>
          <w:sz w:val="24"/>
          <w:szCs w:val="24"/>
        </w:rPr>
        <w:t xml:space="preserve"> (schools, health districts, emergency dispatch</w:t>
      </w:r>
      <w:r w:rsidR="00312051">
        <w:rPr>
          <w:sz w:val="24"/>
          <w:szCs w:val="24"/>
        </w:rPr>
        <w:t xml:space="preserve">) </w:t>
      </w:r>
      <w:r w:rsidR="002E2B9D">
        <w:rPr>
          <w:sz w:val="24"/>
          <w:szCs w:val="24"/>
        </w:rPr>
        <w:t xml:space="preserve">and services (cooperative purchasing, regional equipment sharing). </w:t>
      </w:r>
      <w:r w:rsidR="00970DDF">
        <w:rPr>
          <w:sz w:val="24"/>
          <w:szCs w:val="24"/>
        </w:rPr>
        <w:t xml:space="preserve">Any new proposals should be presented as </w:t>
      </w:r>
      <w:r w:rsidR="008A02EA">
        <w:rPr>
          <w:sz w:val="24"/>
          <w:szCs w:val="24"/>
        </w:rPr>
        <w:t xml:space="preserve">well-researched </w:t>
      </w:r>
      <w:r w:rsidR="00970DDF">
        <w:rPr>
          <w:sz w:val="24"/>
          <w:szCs w:val="24"/>
        </w:rPr>
        <w:t>options and not state mandates.</w:t>
      </w:r>
    </w:p>
    <w:p w14:paraId="19300117" w14:textId="264A0F51" w:rsidR="007C5F5D" w:rsidRDefault="00DB145C" w:rsidP="005B29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02767A">
        <w:rPr>
          <w:sz w:val="24"/>
          <w:szCs w:val="24"/>
        </w:rPr>
        <w:t xml:space="preserve">maintenance of funding for COGs and </w:t>
      </w:r>
      <w:r>
        <w:rPr>
          <w:sz w:val="24"/>
          <w:szCs w:val="24"/>
        </w:rPr>
        <w:t xml:space="preserve">the Regional Performance Incentive Program to enable </w:t>
      </w:r>
      <w:r w:rsidR="0002767A">
        <w:rPr>
          <w:sz w:val="24"/>
          <w:szCs w:val="24"/>
        </w:rPr>
        <w:t xml:space="preserve">planning and </w:t>
      </w:r>
      <w:r>
        <w:rPr>
          <w:sz w:val="24"/>
          <w:szCs w:val="24"/>
        </w:rPr>
        <w:t xml:space="preserve">implementation of </w:t>
      </w:r>
      <w:r w:rsidR="0002767A">
        <w:rPr>
          <w:sz w:val="24"/>
          <w:szCs w:val="24"/>
        </w:rPr>
        <w:t xml:space="preserve">additional </w:t>
      </w:r>
      <w:r>
        <w:rPr>
          <w:sz w:val="24"/>
          <w:szCs w:val="24"/>
        </w:rPr>
        <w:t>shared services</w:t>
      </w:r>
      <w:r w:rsidR="00933383">
        <w:rPr>
          <w:sz w:val="24"/>
          <w:szCs w:val="24"/>
        </w:rPr>
        <w:t xml:space="preserve"> (e.g. </w:t>
      </w:r>
      <w:r w:rsidR="00DE4994">
        <w:rPr>
          <w:sz w:val="24"/>
          <w:szCs w:val="24"/>
        </w:rPr>
        <w:t xml:space="preserve">construction of the </w:t>
      </w:r>
      <w:r w:rsidR="006D5C81">
        <w:rPr>
          <w:sz w:val="24"/>
          <w:szCs w:val="24"/>
        </w:rPr>
        <w:t xml:space="preserve">“shovel ready” </w:t>
      </w:r>
      <w:r w:rsidR="00DE4994">
        <w:rPr>
          <w:sz w:val="24"/>
          <w:szCs w:val="24"/>
        </w:rPr>
        <w:t>Litchfield Hills Regional</w:t>
      </w:r>
      <w:r w:rsidR="00933383">
        <w:rPr>
          <w:sz w:val="24"/>
          <w:szCs w:val="24"/>
        </w:rPr>
        <w:t xml:space="preserve"> </w:t>
      </w:r>
      <w:r w:rsidR="00DE4994">
        <w:rPr>
          <w:sz w:val="24"/>
          <w:szCs w:val="24"/>
        </w:rPr>
        <w:t>A</w:t>
      </w:r>
      <w:r w:rsidR="00933383">
        <w:rPr>
          <w:sz w:val="24"/>
          <w:szCs w:val="24"/>
        </w:rPr>
        <w:t xml:space="preserve">nimal </w:t>
      </w:r>
      <w:r w:rsidR="00DE4994">
        <w:rPr>
          <w:sz w:val="24"/>
          <w:szCs w:val="24"/>
        </w:rPr>
        <w:t>F</w:t>
      </w:r>
      <w:r w:rsidR="00933383">
        <w:rPr>
          <w:sz w:val="24"/>
          <w:szCs w:val="24"/>
        </w:rPr>
        <w:t>acility)</w:t>
      </w:r>
      <w:r w:rsidR="00E80B38">
        <w:rPr>
          <w:sz w:val="24"/>
          <w:szCs w:val="24"/>
        </w:rPr>
        <w:t>.</w:t>
      </w:r>
    </w:p>
    <w:p w14:paraId="023A6FF8" w14:textId="77777777" w:rsidR="00997001" w:rsidRPr="00997001" w:rsidRDefault="00997001" w:rsidP="00997001">
      <w:pPr>
        <w:spacing w:after="0"/>
        <w:rPr>
          <w:sz w:val="24"/>
          <w:szCs w:val="24"/>
        </w:rPr>
      </w:pPr>
    </w:p>
    <w:p w14:paraId="69A61D93" w14:textId="77777777" w:rsidR="00381392" w:rsidRDefault="00381392" w:rsidP="003813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046C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Release </w:t>
      </w:r>
      <w:r w:rsidRPr="000046CF">
        <w:rPr>
          <w:b/>
          <w:sz w:val="24"/>
          <w:szCs w:val="24"/>
        </w:rPr>
        <w:t>bond fund</w:t>
      </w:r>
      <w:r>
        <w:rPr>
          <w:b/>
          <w:sz w:val="24"/>
          <w:szCs w:val="24"/>
        </w:rPr>
        <w:t>s</w:t>
      </w:r>
      <w:r w:rsidRPr="000046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a timely manner</w:t>
      </w:r>
      <w:r w:rsidR="001C665D">
        <w:rPr>
          <w:b/>
          <w:sz w:val="24"/>
          <w:szCs w:val="24"/>
        </w:rPr>
        <w:t xml:space="preserve"> for priority local projects</w:t>
      </w:r>
      <w:r w:rsidR="004537C9">
        <w:rPr>
          <w:b/>
          <w:sz w:val="24"/>
          <w:szCs w:val="24"/>
        </w:rPr>
        <w:t xml:space="preserve"> and a</w:t>
      </w:r>
      <w:r w:rsidR="008C5C9C">
        <w:rPr>
          <w:b/>
          <w:sz w:val="24"/>
          <w:szCs w:val="24"/>
        </w:rPr>
        <w:t>void any mid-session hold back</w:t>
      </w:r>
      <w:r w:rsidR="00431E88">
        <w:rPr>
          <w:b/>
          <w:sz w:val="24"/>
          <w:szCs w:val="24"/>
        </w:rPr>
        <w:t xml:space="preserve"> </w:t>
      </w:r>
      <w:r w:rsidR="008C5C9C">
        <w:rPr>
          <w:b/>
          <w:sz w:val="24"/>
          <w:szCs w:val="24"/>
        </w:rPr>
        <w:t xml:space="preserve">or reduction </w:t>
      </w:r>
      <w:r w:rsidR="00431E88">
        <w:rPr>
          <w:b/>
          <w:sz w:val="24"/>
          <w:szCs w:val="24"/>
        </w:rPr>
        <w:t xml:space="preserve">of </w:t>
      </w:r>
      <w:r w:rsidR="008C5C9C">
        <w:rPr>
          <w:b/>
          <w:sz w:val="24"/>
          <w:szCs w:val="24"/>
        </w:rPr>
        <w:t>funds that are budgeted</w:t>
      </w:r>
      <w:r w:rsidR="00431E88">
        <w:rPr>
          <w:b/>
          <w:sz w:val="24"/>
          <w:szCs w:val="24"/>
        </w:rPr>
        <w:t xml:space="preserve"> for municipalities</w:t>
      </w:r>
      <w:r>
        <w:rPr>
          <w:b/>
          <w:sz w:val="24"/>
          <w:szCs w:val="24"/>
        </w:rPr>
        <w:t>.</w:t>
      </w:r>
      <w:r w:rsidRPr="000046CF">
        <w:rPr>
          <w:b/>
          <w:sz w:val="24"/>
          <w:szCs w:val="24"/>
        </w:rPr>
        <w:t xml:space="preserve"> </w:t>
      </w:r>
    </w:p>
    <w:p w14:paraId="69A61D94" w14:textId="77777777" w:rsidR="00381392" w:rsidRDefault="00381392" w:rsidP="003813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Aid Road funding is critical to all towns in Connecticut and should be released in a predictable manner along with funding to keep our state roads in a state of good repair.</w:t>
      </w:r>
    </w:p>
    <w:p w14:paraId="69A61D95" w14:textId="77777777" w:rsidR="00381392" w:rsidRDefault="001C665D" w:rsidP="003813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Maintaining state funding support for Education Cost Sharing, the Local Capital Improvement Program, and Small Town Economic Assistance Program is also critically important to our towns.</w:t>
      </w:r>
    </w:p>
    <w:p w14:paraId="69A61D98" w14:textId="77777777" w:rsidR="00381392" w:rsidRDefault="00381392" w:rsidP="00562F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156BC" w:rsidRPr="000046CF">
        <w:rPr>
          <w:b/>
          <w:sz w:val="24"/>
          <w:szCs w:val="24"/>
        </w:rPr>
        <w:t xml:space="preserve">) </w:t>
      </w:r>
      <w:r w:rsidR="00625A09" w:rsidRPr="000046CF">
        <w:rPr>
          <w:b/>
          <w:sz w:val="24"/>
          <w:szCs w:val="24"/>
        </w:rPr>
        <w:t xml:space="preserve">Support </w:t>
      </w:r>
      <w:r>
        <w:rPr>
          <w:b/>
          <w:sz w:val="24"/>
          <w:szCs w:val="24"/>
        </w:rPr>
        <w:t>implementation of the region’s Comprehensive Economic Development Strategy (CEDS) and other regional plans.</w:t>
      </w:r>
    </w:p>
    <w:p w14:paraId="69A61D99" w14:textId="4B0B4B75" w:rsidR="00625A09" w:rsidRDefault="00382760" w:rsidP="00625A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Connecting every home and business to fiber-optic broadband is essential to </w:t>
      </w:r>
      <w:r w:rsidR="0070791B">
        <w:rPr>
          <w:sz w:val="24"/>
          <w:szCs w:val="24"/>
        </w:rPr>
        <w:t xml:space="preserve">long-term </w:t>
      </w:r>
      <w:r>
        <w:rPr>
          <w:sz w:val="24"/>
          <w:szCs w:val="24"/>
        </w:rPr>
        <w:t>economic progress in our region and a core strategy in our CEDS Plan</w:t>
      </w:r>
      <w:r w:rsidR="00E80B38">
        <w:rPr>
          <w:sz w:val="24"/>
          <w:szCs w:val="24"/>
        </w:rPr>
        <w:t>.</w:t>
      </w:r>
      <w:r w:rsidR="000226E0">
        <w:rPr>
          <w:sz w:val="24"/>
          <w:szCs w:val="24"/>
        </w:rPr>
        <w:t xml:space="preserve"> We need </w:t>
      </w:r>
      <w:r w:rsidR="00FB7370">
        <w:rPr>
          <w:sz w:val="24"/>
          <w:szCs w:val="24"/>
        </w:rPr>
        <w:t xml:space="preserve">state and federal support to help this </w:t>
      </w:r>
      <w:r w:rsidR="00A30713">
        <w:rPr>
          <w:sz w:val="24"/>
          <w:szCs w:val="24"/>
        </w:rPr>
        <w:t xml:space="preserve">initiative </w:t>
      </w:r>
      <w:r w:rsidR="00FB7370">
        <w:rPr>
          <w:sz w:val="24"/>
          <w:szCs w:val="24"/>
        </w:rPr>
        <w:t>become a reality.</w:t>
      </w:r>
    </w:p>
    <w:p w14:paraId="0B5AB7AD" w14:textId="4EFC558B" w:rsidR="00D33137" w:rsidRPr="00D12158" w:rsidRDefault="00E82DA5" w:rsidP="00625A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2158">
        <w:rPr>
          <w:rFonts w:ascii="Arial" w:hAnsi="Arial" w:cs="Arial"/>
          <w:shd w:val="clear" w:color="auto" w:fill="FFFFFF"/>
        </w:rPr>
        <w:t>Pass legislation requiring PURA to adopt One Touch Make Ready (OTMR) regulations. OTMR would streamline the process of attaching new fiber-optic wire to utility poles saving hundreds of dollars per pole and more than a year of time for municipalities trying to address their high speed broadband needs</w:t>
      </w:r>
      <w:r w:rsidR="007D0315" w:rsidRPr="00D12158">
        <w:rPr>
          <w:rFonts w:ascii="Arial" w:hAnsi="Arial" w:cs="Arial"/>
          <w:shd w:val="clear" w:color="auto" w:fill="FFFFFF"/>
        </w:rPr>
        <w:t>.</w:t>
      </w:r>
    </w:p>
    <w:p w14:paraId="69A61D9A" w14:textId="01170460" w:rsidR="00381392" w:rsidRDefault="00263DEB" w:rsidP="00625A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886548">
        <w:rPr>
          <w:sz w:val="24"/>
          <w:szCs w:val="24"/>
        </w:rPr>
        <w:t xml:space="preserve">the </w:t>
      </w:r>
      <w:r w:rsidR="00461AEF">
        <w:rPr>
          <w:sz w:val="24"/>
          <w:szCs w:val="24"/>
        </w:rPr>
        <w:t xml:space="preserve">state, regional and local </w:t>
      </w:r>
      <w:r w:rsidR="006D4523">
        <w:rPr>
          <w:sz w:val="24"/>
          <w:szCs w:val="24"/>
        </w:rPr>
        <w:t>e</w:t>
      </w:r>
      <w:r>
        <w:rPr>
          <w:sz w:val="24"/>
          <w:szCs w:val="24"/>
        </w:rPr>
        <w:t xml:space="preserve">fforts </w:t>
      </w:r>
      <w:r w:rsidR="00886548">
        <w:rPr>
          <w:sz w:val="24"/>
          <w:szCs w:val="24"/>
        </w:rPr>
        <w:t xml:space="preserve">now underway </w:t>
      </w:r>
      <w:r w:rsidR="006D4523">
        <w:rPr>
          <w:sz w:val="24"/>
          <w:szCs w:val="24"/>
        </w:rPr>
        <w:t>to address the un-met needs resulting from the COVID-19 pandemic</w:t>
      </w:r>
      <w:r w:rsidR="00136073">
        <w:rPr>
          <w:sz w:val="24"/>
          <w:szCs w:val="24"/>
        </w:rPr>
        <w:t>.</w:t>
      </w:r>
    </w:p>
    <w:p w14:paraId="69A61D9B" w14:textId="77777777" w:rsidR="00DB145C" w:rsidRDefault="00DB145C" w:rsidP="00DE4994">
      <w:pPr>
        <w:spacing w:after="0"/>
        <w:rPr>
          <w:sz w:val="24"/>
          <w:szCs w:val="24"/>
        </w:rPr>
      </w:pPr>
      <w:r w:rsidRPr="000046CF">
        <w:rPr>
          <w:b/>
          <w:sz w:val="24"/>
          <w:szCs w:val="24"/>
        </w:rPr>
        <w:t xml:space="preserve">6) </w:t>
      </w:r>
      <w:r w:rsidR="001C665D">
        <w:rPr>
          <w:b/>
          <w:sz w:val="24"/>
          <w:szCs w:val="24"/>
        </w:rPr>
        <w:t>Boldly address the State’s opioid crisis and other mental health issues</w:t>
      </w:r>
      <w:r>
        <w:rPr>
          <w:sz w:val="24"/>
          <w:szCs w:val="24"/>
        </w:rPr>
        <w:t xml:space="preserve">. </w:t>
      </w:r>
    </w:p>
    <w:p w14:paraId="67B026EB" w14:textId="7E49BD88" w:rsidR="006B3B45" w:rsidRDefault="001C665D" w:rsidP="006B3B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Establish a sustained and collaborative partnership between state government</w:t>
      </w:r>
      <w:r w:rsidR="00881A93">
        <w:rPr>
          <w:sz w:val="24"/>
          <w:szCs w:val="24"/>
        </w:rPr>
        <w:t>, schools,</w:t>
      </w:r>
      <w:r>
        <w:rPr>
          <w:sz w:val="24"/>
          <w:szCs w:val="24"/>
        </w:rPr>
        <w:t xml:space="preserve"> and community organizations</w:t>
      </w:r>
      <w:r w:rsidR="00881A93">
        <w:rPr>
          <w:sz w:val="24"/>
          <w:szCs w:val="24"/>
        </w:rPr>
        <w:t xml:space="preserve"> to address this </w:t>
      </w:r>
      <w:r w:rsidR="003F758A">
        <w:rPr>
          <w:sz w:val="24"/>
          <w:szCs w:val="24"/>
        </w:rPr>
        <w:t>crisis</w:t>
      </w:r>
      <w:r>
        <w:rPr>
          <w:sz w:val="24"/>
          <w:szCs w:val="24"/>
        </w:rPr>
        <w:t>.</w:t>
      </w:r>
      <w:r w:rsidR="00BB59CF">
        <w:rPr>
          <w:sz w:val="24"/>
          <w:szCs w:val="24"/>
        </w:rPr>
        <w:t xml:space="preserve"> </w:t>
      </w:r>
      <w:r w:rsidR="006B3B45">
        <w:rPr>
          <w:sz w:val="24"/>
          <w:szCs w:val="24"/>
        </w:rPr>
        <w:t>Since most addictions start in adolescence, prevention work in schools is particularly vital.</w:t>
      </w:r>
    </w:p>
    <w:p w14:paraId="69A61D9C" w14:textId="73AA3874" w:rsidR="00DB145C" w:rsidRDefault="00BB59CF" w:rsidP="00DB14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1386C">
        <w:rPr>
          <w:sz w:val="24"/>
          <w:szCs w:val="24"/>
        </w:rPr>
        <w:t xml:space="preserve">issue </w:t>
      </w:r>
      <w:r>
        <w:rPr>
          <w:sz w:val="24"/>
          <w:szCs w:val="24"/>
        </w:rPr>
        <w:t xml:space="preserve">has </w:t>
      </w:r>
      <w:r w:rsidR="002212B5">
        <w:rPr>
          <w:sz w:val="24"/>
          <w:szCs w:val="24"/>
        </w:rPr>
        <w:t xml:space="preserve">become even more </w:t>
      </w:r>
      <w:r w:rsidR="00A5546D">
        <w:rPr>
          <w:sz w:val="24"/>
          <w:szCs w:val="24"/>
        </w:rPr>
        <w:t>critical</w:t>
      </w:r>
      <w:r w:rsidR="002212B5">
        <w:rPr>
          <w:sz w:val="24"/>
          <w:szCs w:val="24"/>
        </w:rPr>
        <w:t xml:space="preserve"> due to the impact of COVID-19 on vulnerable populations.</w:t>
      </w:r>
    </w:p>
    <w:p w14:paraId="69A61D9E" w14:textId="77777777" w:rsidR="009725D2" w:rsidRDefault="009725D2" w:rsidP="00914F27">
      <w:pPr>
        <w:pStyle w:val="ListParagraph"/>
        <w:ind w:left="0"/>
      </w:pPr>
    </w:p>
    <w:p w14:paraId="69A61D9F" w14:textId="5B8790B9" w:rsidR="00DE4994" w:rsidRDefault="00DE4994" w:rsidP="00DE4994">
      <w:pPr>
        <w:pStyle w:val="ListParagraph"/>
        <w:ind w:left="0"/>
        <w:jc w:val="center"/>
      </w:pPr>
      <w:r>
        <w:t>*  *  *  *  *</w:t>
      </w:r>
    </w:p>
    <w:p w14:paraId="7AC7EF08" w14:textId="16B51FE9" w:rsidR="004D77DB" w:rsidRPr="004D77DB" w:rsidRDefault="004D77DB" w:rsidP="004D77DB">
      <w:pPr>
        <w:pStyle w:val="ListParagraph"/>
        <w:ind w:left="0"/>
        <w:rPr>
          <w:i/>
          <w:iCs/>
        </w:rPr>
      </w:pPr>
      <w:r>
        <w:rPr>
          <w:i/>
          <w:iCs/>
        </w:rPr>
        <w:t>Adopted by NHCOG</w:t>
      </w:r>
      <w:r w:rsidR="004A61E9">
        <w:rPr>
          <w:i/>
          <w:iCs/>
        </w:rPr>
        <w:t xml:space="preserve"> on December 10, 2020</w:t>
      </w:r>
    </w:p>
    <w:sectPr w:rsidR="004D77DB" w:rsidRPr="004D77DB" w:rsidSect="003E5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8AAF" w14:textId="77777777" w:rsidR="00144851" w:rsidRDefault="00144851" w:rsidP="00F24A83">
      <w:pPr>
        <w:spacing w:after="0" w:line="240" w:lineRule="auto"/>
      </w:pPr>
      <w:r>
        <w:separator/>
      </w:r>
    </w:p>
  </w:endnote>
  <w:endnote w:type="continuationSeparator" w:id="0">
    <w:p w14:paraId="626A5BA9" w14:textId="77777777" w:rsidR="00144851" w:rsidRDefault="00144851" w:rsidP="00F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59BD" w14:textId="77777777" w:rsidR="006A7785" w:rsidRDefault="006A7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1DA6" w14:textId="77777777" w:rsidR="00743BB1" w:rsidRDefault="00743BB1">
    <w:pPr>
      <w:pStyle w:val="Footer"/>
    </w:pPr>
    <w:r>
      <w:t>Suite A-1, 59 Torrington Road, Goshen, CT 06756</w:t>
    </w:r>
    <w:r>
      <w:tab/>
    </w:r>
    <w:r>
      <w:tab/>
      <w:t xml:space="preserve">Tel: 860-491-9884 </w:t>
    </w:r>
  </w:p>
  <w:p w14:paraId="69A61DA7" w14:textId="77777777" w:rsidR="00743BB1" w:rsidRDefault="00743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FCB6" w14:textId="77777777" w:rsidR="006A7785" w:rsidRDefault="006A7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9E226" w14:textId="77777777" w:rsidR="00144851" w:rsidRDefault="00144851" w:rsidP="00F24A83">
      <w:pPr>
        <w:spacing w:after="0" w:line="240" w:lineRule="auto"/>
      </w:pPr>
      <w:r>
        <w:separator/>
      </w:r>
    </w:p>
  </w:footnote>
  <w:footnote w:type="continuationSeparator" w:id="0">
    <w:p w14:paraId="5B1C48B6" w14:textId="77777777" w:rsidR="00144851" w:rsidRDefault="00144851" w:rsidP="00F2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FF84" w14:textId="77777777" w:rsidR="006A7785" w:rsidRDefault="006A7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1294" w14:textId="2E452BB3" w:rsidR="006A7785" w:rsidRDefault="006A7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3EBA" w14:textId="77777777" w:rsidR="006A7785" w:rsidRDefault="006A7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14B2"/>
    <w:multiLevelType w:val="hybridMultilevel"/>
    <w:tmpl w:val="CDA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0BCB"/>
    <w:multiLevelType w:val="hybridMultilevel"/>
    <w:tmpl w:val="7088919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358E464C"/>
    <w:multiLevelType w:val="hybridMultilevel"/>
    <w:tmpl w:val="0EF6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5E02"/>
    <w:multiLevelType w:val="hybridMultilevel"/>
    <w:tmpl w:val="64D0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6041B"/>
    <w:multiLevelType w:val="hybridMultilevel"/>
    <w:tmpl w:val="6EBE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B"/>
    <w:rsid w:val="000046CF"/>
    <w:rsid w:val="000226E0"/>
    <w:rsid w:val="0002767A"/>
    <w:rsid w:val="00057698"/>
    <w:rsid w:val="000973FB"/>
    <w:rsid w:val="000B1E78"/>
    <w:rsid w:val="00136073"/>
    <w:rsid w:val="00144851"/>
    <w:rsid w:val="00150958"/>
    <w:rsid w:val="0015263A"/>
    <w:rsid w:val="00167340"/>
    <w:rsid w:val="001C665D"/>
    <w:rsid w:val="001F06CA"/>
    <w:rsid w:val="001F148B"/>
    <w:rsid w:val="00200CD9"/>
    <w:rsid w:val="002212B5"/>
    <w:rsid w:val="00227E07"/>
    <w:rsid w:val="00263DEB"/>
    <w:rsid w:val="002743BC"/>
    <w:rsid w:val="002B4305"/>
    <w:rsid w:val="002D1EBA"/>
    <w:rsid w:val="002E2B9D"/>
    <w:rsid w:val="002F3AF3"/>
    <w:rsid w:val="0030686D"/>
    <w:rsid w:val="00310DCC"/>
    <w:rsid w:val="00312051"/>
    <w:rsid w:val="003554D4"/>
    <w:rsid w:val="00360A33"/>
    <w:rsid w:val="003766D6"/>
    <w:rsid w:val="00381392"/>
    <w:rsid w:val="00382760"/>
    <w:rsid w:val="003C1038"/>
    <w:rsid w:val="003E5134"/>
    <w:rsid w:val="003F758A"/>
    <w:rsid w:val="00412DE3"/>
    <w:rsid w:val="004156BC"/>
    <w:rsid w:val="00417927"/>
    <w:rsid w:val="004271BC"/>
    <w:rsid w:val="00431E88"/>
    <w:rsid w:val="004537C9"/>
    <w:rsid w:val="00461AEF"/>
    <w:rsid w:val="0047290A"/>
    <w:rsid w:val="00497F34"/>
    <w:rsid w:val="004A61E9"/>
    <w:rsid w:val="004C1DF1"/>
    <w:rsid w:val="004D77DB"/>
    <w:rsid w:val="0053442E"/>
    <w:rsid w:val="00554FAD"/>
    <w:rsid w:val="00562F86"/>
    <w:rsid w:val="00584D05"/>
    <w:rsid w:val="005A0198"/>
    <w:rsid w:val="005B29DC"/>
    <w:rsid w:val="005D7F25"/>
    <w:rsid w:val="0061386C"/>
    <w:rsid w:val="00625A09"/>
    <w:rsid w:val="00665915"/>
    <w:rsid w:val="00675319"/>
    <w:rsid w:val="00691112"/>
    <w:rsid w:val="006A7785"/>
    <w:rsid w:val="006B3B45"/>
    <w:rsid w:val="006D4523"/>
    <w:rsid w:val="006D5C81"/>
    <w:rsid w:val="006E641F"/>
    <w:rsid w:val="007033E8"/>
    <w:rsid w:val="0070791B"/>
    <w:rsid w:val="007430D1"/>
    <w:rsid w:val="00743BB1"/>
    <w:rsid w:val="00796E88"/>
    <w:rsid w:val="007C5F5D"/>
    <w:rsid w:val="007D0315"/>
    <w:rsid w:val="007E7867"/>
    <w:rsid w:val="00804315"/>
    <w:rsid w:val="00810AD8"/>
    <w:rsid w:val="00881A93"/>
    <w:rsid w:val="008847D1"/>
    <w:rsid w:val="00886548"/>
    <w:rsid w:val="008970F6"/>
    <w:rsid w:val="008A02EA"/>
    <w:rsid w:val="008A4C14"/>
    <w:rsid w:val="008C5C9C"/>
    <w:rsid w:val="008E2198"/>
    <w:rsid w:val="00902E5F"/>
    <w:rsid w:val="00912A6D"/>
    <w:rsid w:val="00914F27"/>
    <w:rsid w:val="00933383"/>
    <w:rsid w:val="009342CB"/>
    <w:rsid w:val="00970DDF"/>
    <w:rsid w:val="009725D2"/>
    <w:rsid w:val="0098291B"/>
    <w:rsid w:val="00997001"/>
    <w:rsid w:val="009B477D"/>
    <w:rsid w:val="009B7200"/>
    <w:rsid w:val="009F6A4C"/>
    <w:rsid w:val="00A17C79"/>
    <w:rsid w:val="00A2635B"/>
    <w:rsid w:val="00A30713"/>
    <w:rsid w:val="00A5546D"/>
    <w:rsid w:val="00A711D9"/>
    <w:rsid w:val="00A77DD8"/>
    <w:rsid w:val="00AA73E8"/>
    <w:rsid w:val="00AC366C"/>
    <w:rsid w:val="00AE341C"/>
    <w:rsid w:val="00B336E2"/>
    <w:rsid w:val="00BA4542"/>
    <w:rsid w:val="00BA60C1"/>
    <w:rsid w:val="00BB59CF"/>
    <w:rsid w:val="00BC09A3"/>
    <w:rsid w:val="00BC69BE"/>
    <w:rsid w:val="00BD19F5"/>
    <w:rsid w:val="00BD5743"/>
    <w:rsid w:val="00BE27BA"/>
    <w:rsid w:val="00BF7C7A"/>
    <w:rsid w:val="00C40EC5"/>
    <w:rsid w:val="00C63FE0"/>
    <w:rsid w:val="00C86B8D"/>
    <w:rsid w:val="00CA375F"/>
    <w:rsid w:val="00CC07CC"/>
    <w:rsid w:val="00D06F5B"/>
    <w:rsid w:val="00D12158"/>
    <w:rsid w:val="00D30CE5"/>
    <w:rsid w:val="00D33137"/>
    <w:rsid w:val="00D3715E"/>
    <w:rsid w:val="00D66B4C"/>
    <w:rsid w:val="00D67465"/>
    <w:rsid w:val="00D72705"/>
    <w:rsid w:val="00D77DBC"/>
    <w:rsid w:val="00D871EC"/>
    <w:rsid w:val="00D95679"/>
    <w:rsid w:val="00D97327"/>
    <w:rsid w:val="00DB145C"/>
    <w:rsid w:val="00DB5E6D"/>
    <w:rsid w:val="00DC5C57"/>
    <w:rsid w:val="00DD2B03"/>
    <w:rsid w:val="00DD7C1A"/>
    <w:rsid w:val="00DE4994"/>
    <w:rsid w:val="00E30BFB"/>
    <w:rsid w:val="00E34B3B"/>
    <w:rsid w:val="00E50B2C"/>
    <w:rsid w:val="00E7257E"/>
    <w:rsid w:val="00E741A3"/>
    <w:rsid w:val="00E80B38"/>
    <w:rsid w:val="00E82DA5"/>
    <w:rsid w:val="00E8439E"/>
    <w:rsid w:val="00EA1103"/>
    <w:rsid w:val="00EB0DFA"/>
    <w:rsid w:val="00EB5F10"/>
    <w:rsid w:val="00ED0247"/>
    <w:rsid w:val="00F20A88"/>
    <w:rsid w:val="00F24A83"/>
    <w:rsid w:val="00F4304C"/>
    <w:rsid w:val="00F862F1"/>
    <w:rsid w:val="00F94E7B"/>
    <w:rsid w:val="00FB4EE9"/>
    <w:rsid w:val="00FB7370"/>
    <w:rsid w:val="00FC78A8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A61D81"/>
  <w15:docId w15:val="{3577F240-414D-4D13-9ED9-03A936F9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83"/>
  </w:style>
  <w:style w:type="paragraph" w:styleId="Footer">
    <w:name w:val="footer"/>
    <w:basedOn w:val="Normal"/>
    <w:link w:val="FooterChar"/>
    <w:uiPriority w:val="99"/>
    <w:unhideWhenUsed/>
    <w:rsid w:val="00F2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RickLynn</dc:creator>
  <cp:lastModifiedBy>Rick Lynn</cp:lastModifiedBy>
  <cp:revision>2</cp:revision>
  <cp:lastPrinted>2020-01-17T21:26:00Z</cp:lastPrinted>
  <dcterms:created xsi:type="dcterms:W3CDTF">2020-12-11T15:38:00Z</dcterms:created>
  <dcterms:modified xsi:type="dcterms:W3CDTF">2020-12-11T15:38:00Z</dcterms:modified>
</cp:coreProperties>
</file>